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5C" w:rsidRPr="006F1AF9" w:rsidRDefault="00864C5C" w:rsidP="00DA7104">
      <w:pPr>
        <w:pStyle w:val="Ttulo5"/>
        <w:spacing w:line="276" w:lineRule="auto"/>
        <w:ind w:left="4536" w:firstLine="0"/>
        <w:rPr>
          <w:rFonts w:ascii="Courier New" w:hAnsi="Courier New" w:cs="Courier New"/>
          <w:b/>
          <w:sz w:val="23"/>
          <w:szCs w:val="23"/>
        </w:rPr>
      </w:pPr>
      <w:r w:rsidRPr="006F1AF9">
        <w:rPr>
          <w:rFonts w:ascii="Courier New" w:hAnsi="Courier New" w:cs="Courier New"/>
          <w:b/>
          <w:sz w:val="23"/>
          <w:szCs w:val="23"/>
        </w:rPr>
        <w:t>“</w:t>
      </w:r>
      <w:r w:rsidR="006F1AF9" w:rsidRPr="006F1AF9">
        <w:rPr>
          <w:rFonts w:ascii="Courier New" w:hAnsi="Courier New" w:cs="Courier New"/>
          <w:b/>
          <w:i/>
          <w:sz w:val="23"/>
          <w:szCs w:val="23"/>
        </w:rPr>
        <w:t>Dispõe sobre a proibição de cobrança de taxa de religação de energia elétrica e de água, em caso de corte de fornecimento por falta de pagamento</w:t>
      </w:r>
      <w:r w:rsidRPr="006F1AF9">
        <w:rPr>
          <w:rFonts w:ascii="Courier New" w:hAnsi="Courier New" w:cs="Courier New"/>
          <w:b/>
          <w:sz w:val="23"/>
          <w:szCs w:val="23"/>
        </w:rPr>
        <w:t xml:space="preserve">, e dá outras providências”. </w:t>
      </w:r>
    </w:p>
    <w:p w:rsidR="005E7362" w:rsidRPr="006F1AF9" w:rsidRDefault="00864C5C" w:rsidP="00DA7104">
      <w:pPr>
        <w:pStyle w:val="Ttulo5"/>
        <w:spacing w:line="276" w:lineRule="auto"/>
        <w:ind w:firstLine="0"/>
        <w:rPr>
          <w:rFonts w:ascii="Courier New" w:hAnsi="Courier New" w:cs="Courier New"/>
          <w:sz w:val="23"/>
          <w:szCs w:val="23"/>
        </w:rPr>
      </w:pPr>
      <w:r w:rsidRPr="006F1AF9">
        <w:rPr>
          <w:rFonts w:ascii="Courier New" w:hAnsi="Courier New" w:cs="Courier New"/>
          <w:sz w:val="23"/>
          <w:szCs w:val="23"/>
        </w:rPr>
        <w:t xml:space="preserve">                                        </w:t>
      </w:r>
    </w:p>
    <w:p w:rsidR="00864C5C" w:rsidRPr="006F1AF9" w:rsidRDefault="00864C5C" w:rsidP="00DA7104">
      <w:pPr>
        <w:pStyle w:val="Ttulo5"/>
        <w:spacing w:line="276" w:lineRule="auto"/>
        <w:ind w:firstLine="0"/>
        <w:rPr>
          <w:rFonts w:ascii="Courier New" w:hAnsi="Courier New" w:cs="Courier New"/>
          <w:sz w:val="23"/>
          <w:szCs w:val="23"/>
        </w:rPr>
      </w:pPr>
      <w:r w:rsidRPr="006F1AF9">
        <w:rPr>
          <w:rFonts w:ascii="Courier New" w:hAnsi="Courier New" w:cs="Courier New"/>
          <w:sz w:val="23"/>
          <w:szCs w:val="23"/>
        </w:rPr>
        <w:t xml:space="preserve">               </w:t>
      </w:r>
    </w:p>
    <w:p w:rsidR="00864C5C" w:rsidRPr="006F1AF9" w:rsidRDefault="00864C5C" w:rsidP="006F1AF9">
      <w:pPr>
        <w:pStyle w:val="Ttulo5"/>
        <w:spacing w:line="276" w:lineRule="auto"/>
        <w:ind w:firstLine="1134"/>
        <w:rPr>
          <w:rFonts w:ascii="Courier New" w:hAnsi="Courier New" w:cs="Courier New"/>
          <w:sz w:val="23"/>
          <w:szCs w:val="23"/>
        </w:rPr>
      </w:pPr>
      <w:r w:rsidRPr="006F1AF9">
        <w:rPr>
          <w:rFonts w:ascii="Courier New" w:hAnsi="Courier New" w:cs="Courier New"/>
          <w:sz w:val="23"/>
          <w:szCs w:val="23"/>
        </w:rPr>
        <w:t xml:space="preserve">O Exmo. Sr. Prefeito Municipal de Batayporã, Estado de Mato Grosso do Sul, Sr. </w:t>
      </w:r>
      <w:r w:rsidR="000D3B00" w:rsidRPr="006F1AF9">
        <w:rPr>
          <w:rFonts w:ascii="Courier New" w:hAnsi="Courier New" w:cs="Courier New"/>
          <w:sz w:val="23"/>
          <w:szCs w:val="23"/>
        </w:rPr>
        <w:t>Jorge Luiz Takahashi</w:t>
      </w:r>
      <w:r w:rsidRPr="006F1AF9">
        <w:rPr>
          <w:rFonts w:ascii="Courier New" w:hAnsi="Courier New" w:cs="Courier New"/>
          <w:sz w:val="23"/>
          <w:szCs w:val="23"/>
        </w:rPr>
        <w:t>, no uso e gozo de suas atribuições legais:</w:t>
      </w:r>
    </w:p>
    <w:p w:rsidR="00864C5C" w:rsidRPr="006F1AF9" w:rsidRDefault="00864C5C" w:rsidP="006F1AF9">
      <w:pPr>
        <w:pStyle w:val="Ttulo5"/>
        <w:spacing w:line="276" w:lineRule="auto"/>
        <w:ind w:firstLine="1134"/>
        <w:rPr>
          <w:rFonts w:ascii="Courier New" w:hAnsi="Courier New" w:cs="Courier New"/>
          <w:sz w:val="23"/>
          <w:szCs w:val="23"/>
        </w:rPr>
      </w:pPr>
    </w:p>
    <w:p w:rsidR="005E7362" w:rsidRPr="006F1AF9" w:rsidRDefault="005E7362" w:rsidP="006F1AF9">
      <w:pPr>
        <w:pStyle w:val="Ttulo5"/>
        <w:spacing w:line="276" w:lineRule="auto"/>
        <w:ind w:firstLine="1134"/>
        <w:rPr>
          <w:rFonts w:ascii="Courier New" w:hAnsi="Courier New" w:cs="Courier New"/>
          <w:sz w:val="23"/>
          <w:szCs w:val="23"/>
        </w:rPr>
      </w:pPr>
    </w:p>
    <w:p w:rsidR="00864C5C" w:rsidRPr="006F1AF9" w:rsidRDefault="00864C5C" w:rsidP="006F1AF9">
      <w:pPr>
        <w:pStyle w:val="Ttulo5"/>
        <w:spacing w:line="276" w:lineRule="auto"/>
        <w:ind w:firstLine="1134"/>
        <w:rPr>
          <w:rFonts w:ascii="Courier New" w:hAnsi="Courier New" w:cs="Courier New"/>
          <w:sz w:val="23"/>
          <w:szCs w:val="23"/>
        </w:rPr>
      </w:pPr>
      <w:r w:rsidRPr="006F1AF9">
        <w:rPr>
          <w:rFonts w:ascii="Courier New" w:hAnsi="Courier New" w:cs="Courier New"/>
          <w:sz w:val="23"/>
          <w:szCs w:val="23"/>
        </w:rPr>
        <w:t xml:space="preserve">Faz saber que a </w:t>
      </w:r>
      <w:r w:rsidRPr="006F1AF9">
        <w:rPr>
          <w:rFonts w:ascii="Courier New" w:hAnsi="Courier New" w:cs="Courier New"/>
          <w:b/>
          <w:sz w:val="23"/>
          <w:szCs w:val="23"/>
          <w:u w:val="single"/>
        </w:rPr>
        <w:t>CÂMARA MUNICIPAL</w:t>
      </w:r>
      <w:r w:rsidRPr="006F1AF9">
        <w:rPr>
          <w:rFonts w:ascii="Courier New" w:hAnsi="Courier New" w:cs="Courier New"/>
          <w:sz w:val="23"/>
          <w:szCs w:val="23"/>
        </w:rPr>
        <w:t xml:space="preserve"> aprovou </w:t>
      </w:r>
      <w:r w:rsidR="00B86513" w:rsidRPr="006F1AF9">
        <w:rPr>
          <w:rFonts w:ascii="Courier New" w:hAnsi="Courier New" w:cs="Courier New"/>
          <w:sz w:val="23"/>
          <w:szCs w:val="23"/>
        </w:rPr>
        <w:t>o Projeto de Lei de autoria</w:t>
      </w:r>
      <w:r w:rsidR="00750085" w:rsidRPr="006F1AF9">
        <w:rPr>
          <w:rFonts w:ascii="Courier New" w:hAnsi="Courier New" w:cs="Courier New"/>
          <w:sz w:val="23"/>
          <w:szCs w:val="23"/>
        </w:rPr>
        <w:t xml:space="preserve"> e iniciativa</w:t>
      </w:r>
      <w:r w:rsidR="00B86513" w:rsidRPr="006F1AF9">
        <w:rPr>
          <w:rFonts w:ascii="Courier New" w:hAnsi="Courier New" w:cs="Courier New"/>
          <w:sz w:val="23"/>
          <w:szCs w:val="23"/>
        </w:rPr>
        <w:t xml:space="preserve"> do </w:t>
      </w:r>
      <w:r w:rsidR="00B86513" w:rsidRPr="006F1AF9">
        <w:rPr>
          <w:rFonts w:ascii="Courier New" w:hAnsi="Courier New" w:cs="Courier New"/>
          <w:i/>
          <w:sz w:val="23"/>
          <w:szCs w:val="23"/>
        </w:rPr>
        <w:t xml:space="preserve">Vereador </w:t>
      </w:r>
      <w:r w:rsidR="006F1AF9" w:rsidRPr="006F1AF9">
        <w:rPr>
          <w:rFonts w:ascii="Courier New" w:hAnsi="Courier New" w:cs="Courier New"/>
          <w:i/>
          <w:sz w:val="23"/>
          <w:szCs w:val="23"/>
        </w:rPr>
        <w:t>Cacildo da</w:t>
      </w:r>
      <w:r w:rsidR="00346EAF" w:rsidRPr="006F1AF9">
        <w:rPr>
          <w:rFonts w:ascii="Courier New" w:hAnsi="Courier New" w:cs="Courier New"/>
          <w:i/>
          <w:sz w:val="23"/>
          <w:szCs w:val="23"/>
        </w:rPr>
        <w:t xml:space="preserve"> Silva</w:t>
      </w:r>
      <w:r w:rsidR="006F1AF9" w:rsidRPr="006F1AF9">
        <w:rPr>
          <w:rFonts w:ascii="Courier New" w:hAnsi="Courier New" w:cs="Courier New"/>
          <w:i/>
          <w:sz w:val="23"/>
          <w:szCs w:val="23"/>
        </w:rPr>
        <w:t xml:space="preserve"> Paião</w:t>
      </w:r>
      <w:r w:rsidR="00B86513" w:rsidRPr="006F1AF9">
        <w:rPr>
          <w:rFonts w:ascii="Courier New" w:hAnsi="Courier New" w:cs="Courier New"/>
          <w:sz w:val="23"/>
          <w:szCs w:val="23"/>
        </w:rPr>
        <w:t xml:space="preserve"> </w:t>
      </w:r>
      <w:r w:rsidRPr="006F1AF9">
        <w:rPr>
          <w:rFonts w:ascii="Courier New" w:hAnsi="Courier New" w:cs="Courier New"/>
          <w:sz w:val="23"/>
          <w:szCs w:val="23"/>
        </w:rPr>
        <w:t xml:space="preserve">e o Poder Executivo sanciona e promulga a seguinte </w:t>
      </w:r>
      <w:r w:rsidR="000D3B00" w:rsidRPr="006F1AF9">
        <w:rPr>
          <w:rFonts w:ascii="Courier New" w:hAnsi="Courier New" w:cs="Courier New"/>
          <w:sz w:val="23"/>
          <w:szCs w:val="23"/>
        </w:rPr>
        <w:t>L</w:t>
      </w:r>
      <w:r w:rsidRPr="006F1AF9">
        <w:rPr>
          <w:rFonts w:ascii="Courier New" w:hAnsi="Courier New" w:cs="Courier New"/>
          <w:sz w:val="23"/>
          <w:szCs w:val="23"/>
        </w:rPr>
        <w:t>ei:</w:t>
      </w:r>
    </w:p>
    <w:p w:rsidR="00864C5C" w:rsidRPr="006F1AF9" w:rsidRDefault="00864C5C" w:rsidP="006F1AF9">
      <w:pPr>
        <w:pStyle w:val="Ttulo5"/>
        <w:spacing w:line="276" w:lineRule="auto"/>
        <w:ind w:firstLine="1134"/>
        <w:rPr>
          <w:rFonts w:ascii="Courier New" w:hAnsi="Courier New" w:cs="Courier New"/>
          <w:sz w:val="23"/>
          <w:szCs w:val="23"/>
        </w:rPr>
      </w:pPr>
    </w:p>
    <w:p w:rsidR="002358CD" w:rsidRPr="006F1AF9" w:rsidRDefault="002358CD" w:rsidP="006F1AF9">
      <w:pPr>
        <w:pStyle w:val="Ttulo5"/>
        <w:spacing w:line="276" w:lineRule="auto"/>
        <w:ind w:firstLine="1134"/>
        <w:rPr>
          <w:rFonts w:ascii="Courier New" w:hAnsi="Courier New" w:cs="Courier New"/>
          <w:b/>
          <w:sz w:val="23"/>
          <w:szCs w:val="23"/>
        </w:rPr>
      </w:pPr>
    </w:p>
    <w:p w:rsidR="009F11C5" w:rsidRPr="006F1AF9" w:rsidRDefault="009F11C5" w:rsidP="006F1AF9">
      <w:pPr>
        <w:ind w:firstLine="1134"/>
        <w:jc w:val="both"/>
        <w:rPr>
          <w:rFonts w:ascii="Courier New" w:hAnsi="Courier New" w:cs="Courier New"/>
          <w:sz w:val="23"/>
          <w:szCs w:val="23"/>
        </w:rPr>
      </w:pPr>
      <w:r w:rsidRPr="006F1AF9">
        <w:rPr>
          <w:rFonts w:ascii="Courier New" w:hAnsi="Courier New" w:cs="Courier New"/>
          <w:b/>
          <w:sz w:val="23"/>
          <w:szCs w:val="23"/>
        </w:rPr>
        <w:t>Art. 1º</w:t>
      </w:r>
      <w:r w:rsidRPr="006F1AF9">
        <w:rPr>
          <w:rFonts w:ascii="Courier New" w:hAnsi="Courier New" w:cs="Courier New"/>
          <w:sz w:val="23"/>
          <w:szCs w:val="23"/>
        </w:rPr>
        <w:t xml:space="preserve"> -</w:t>
      </w:r>
      <w:r w:rsidR="006F1AF9" w:rsidRPr="006F1AF9">
        <w:rPr>
          <w:rFonts w:ascii="Courier New" w:hAnsi="Courier New" w:cs="Courier New"/>
          <w:sz w:val="23"/>
          <w:szCs w:val="23"/>
        </w:rPr>
        <w:t xml:space="preserve"> </w:t>
      </w:r>
      <w:r w:rsidR="006F1AF9" w:rsidRPr="006F1AF9">
        <w:rPr>
          <w:rFonts w:ascii="Courier New" w:hAnsi="Courier New" w:cs="Courier New"/>
          <w:sz w:val="23"/>
          <w:szCs w:val="23"/>
        </w:rPr>
        <w:t xml:space="preserve">Fica proibida a cobrança da taxa de religação, por parte das </w:t>
      </w:r>
      <w:r w:rsidR="006F1AF9">
        <w:rPr>
          <w:rFonts w:ascii="Courier New" w:hAnsi="Courier New" w:cs="Courier New"/>
          <w:sz w:val="23"/>
          <w:szCs w:val="23"/>
        </w:rPr>
        <w:t>e</w:t>
      </w:r>
      <w:r w:rsidR="006F1AF9" w:rsidRPr="006F1AF9">
        <w:rPr>
          <w:rFonts w:ascii="Courier New" w:hAnsi="Courier New" w:cs="Courier New"/>
          <w:sz w:val="23"/>
          <w:szCs w:val="23"/>
        </w:rPr>
        <w:t xml:space="preserve">mpresas concessionárias de fornecimento de </w:t>
      </w:r>
      <w:r w:rsidR="006F1AF9" w:rsidRPr="006F1AF9">
        <w:rPr>
          <w:rFonts w:ascii="Courier New" w:hAnsi="Courier New" w:cs="Courier New"/>
          <w:sz w:val="23"/>
          <w:szCs w:val="23"/>
        </w:rPr>
        <w:t>E</w:t>
      </w:r>
      <w:r w:rsidR="006F1AF9" w:rsidRPr="006F1AF9">
        <w:rPr>
          <w:rFonts w:ascii="Courier New" w:hAnsi="Courier New" w:cs="Courier New"/>
          <w:sz w:val="23"/>
          <w:szCs w:val="23"/>
        </w:rPr>
        <w:t xml:space="preserve">nergia </w:t>
      </w:r>
      <w:r w:rsidR="006F1AF9" w:rsidRPr="006F1AF9">
        <w:rPr>
          <w:rFonts w:ascii="Courier New" w:hAnsi="Courier New" w:cs="Courier New"/>
          <w:sz w:val="23"/>
          <w:szCs w:val="23"/>
        </w:rPr>
        <w:t>E</w:t>
      </w:r>
      <w:r w:rsidR="006F1AF9" w:rsidRPr="006F1AF9">
        <w:rPr>
          <w:rFonts w:ascii="Courier New" w:hAnsi="Courier New" w:cs="Courier New"/>
          <w:sz w:val="23"/>
          <w:szCs w:val="23"/>
        </w:rPr>
        <w:t xml:space="preserve">létrica e </w:t>
      </w:r>
      <w:r w:rsidR="006F1AF9" w:rsidRPr="006F1AF9">
        <w:rPr>
          <w:rFonts w:ascii="Courier New" w:hAnsi="Courier New" w:cs="Courier New"/>
          <w:sz w:val="23"/>
          <w:szCs w:val="23"/>
        </w:rPr>
        <w:t>Á</w:t>
      </w:r>
      <w:r w:rsidR="006F1AF9" w:rsidRPr="006F1AF9">
        <w:rPr>
          <w:rFonts w:ascii="Courier New" w:hAnsi="Courier New" w:cs="Courier New"/>
          <w:sz w:val="23"/>
          <w:szCs w:val="23"/>
        </w:rPr>
        <w:t xml:space="preserve">gua da cidade de </w:t>
      </w:r>
      <w:r w:rsidR="006F1AF9" w:rsidRPr="006F1AF9">
        <w:rPr>
          <w:rFonts w:ascii="Courier New" w:hAnsi="Courier New" w:cs="Courier New"/>
          <w:sz w:val="23"/>
          <w:szCs w:val="23"/>
        </w:rPr>
        <w:t>Batayporã</w:t>
      </w:r>
      <w:r w:rsidR="006F1AF9" w:rsidRPr="006F1AF9">
        <w:rPr>
          <w:rFonts w:ascii="Courier New" w:hAnsi="Courier New" w:cs="Courier New"/>
          <w:sz w:val="23"/>
          <w:szCs w:val="23"/>
        </w:rPr>
        <w:t>-MS, por atraso no pagamento das respectivas faturas</w:t>
      </w:r>
      <w:r w:rsidRPr="006F1AF9">
        <w:rPr>
          <w:rFonts w:ascii="Courier New" w:hAnsi="Courier New" w:cs="Courier New"/>
          <w:sz w:val="23"/>
          <w:szCs w:val="23"/>
        </w:rPr>
        <w:t>.</w:t>
      </w:r>
    </w:p>
    <w:p w:rsidR="009F11C5" w:rsidRPr="006F1AF9" w:rsidRDefault="009F11C5" w:rsidP="006F1AF9">
      <w:pPr>
        <w:ind w:firstLine="1134"/>
        <w:jc w:val="both"/>
        <w:rPr>
          <w:rFonts w:ascii="Courier New" w:hAnsi="Courier New" w:cs="Courier New"/>
          <w:sz w:val="23"/>
          <w:szCs w:val="23"/>
        </w:rPr>
      </w:pPr>
    </w:p>
    <w:p w:rsidR="009F11C5" w:rsidRPr="006F1AF9" w:rsidRDefault="006F1AF9" w:rsidP="006F1AF9">
      <w:pPr>
        <w:ind w:firstLine="1134"/>
        <w:jc w:val="both"/>
        <w:rPr>
          <w:rFonts w:ascii="Courier New" w:hAnsi="Courier New" w:cs="Courier New"/>
          <w:sz w:val="23"/>
          <w:szCs w:val="23"/>
        </w:rPr>
      </w:pPr>
      <w:r w:rsidRPr="006F1AF9">
        <w:rPr>
          <w:rFonts w:ascii="Courier New" w:hAnsi="Courier New" w:cs="Courier New"/>
          <w:b/>
          <w:bCs/>
          <w:sz w:val="23"/>
          <w:szCs w:val="23"/>
        </w:rPr>
        <w:t>PARÁGRAFO ÚNICO</w:t>
      </w:r>
      <w:r w:rsidRPr="006F1AF9">
        <w:rPr>
          <w:rFonts w:ascii="Courier New" w:hAnsi="Courier New" w:cs="Courier New"/>
          <w:sz w:val="23"/>
          <w:szCs w:val="23"/>
        </w:rPr>
        <w:t> - Esta proibição não se aplica a interrupção de fornecimento dos serviços se requerida pelo consumidor</w:t>
      </w:r>
      <w:r w:rsidRPr="006F1AF9">
        <w:rPr>
          <w:rFonts w:ascii="Courier New" w:hAnsi="Courier New" w:cs="Courier New"/>
          <w:sz w:val="23"/>
          <w:szCs w:val="23"/>
        </w:rPr>
        <w:t>.</w:t>
      </w:r>
    </w:p>
    <w:p w:rsidR="009F11C5" w:rsidRPr="006F1AF9" w:rsidRDefault="009F11C5" w:rsidP="006F1AF9">
      <w:pPr>
        <w:ind w:firstLine="1134"/>
        <w:jc w:val="both"/>
        <w:rPr>
          <w:rFonts w:ascii="Courier New" w:hAnsi="Courier New" w:cs="Courier New"/>
          <w:sz w:val="23"/>
          <w:szCs w:val="23"/>
        </w:rPr>
      </w:pPr>
    </w:p>
    <w:p w:rsidR="009F11C5" w:rsidRPr="006F1AF9" w:rsidRDefault="009F11C5" w:rsidP="006F1AF9">
      <w:pPr>
        <w:ind w:firstLine="1134"/>
        <w:jc w:val="both"/>
        <w:rPr>
          <w:rFonts w:ascii="Courier New" w:hAnsi="Courier New" w:cs="Courier New"/>
          <w:sz w:val="23"/>
          <w:szCs w:val="23"/>
        </w:rPr>
      </w:pPr>
      <w:r w:rsidRPr="006F1AF9">
        <w:rPr>
          <w:rFonts w:ascii="Courier New" w:hAnsi="Courier New" w:cs="Courier New"/>
          <w:b/>
          <w:sz w:val="23"/>
          <w:szCs w:val="23"/>
        </w:rPr>
        <w:t>Art. 2º -</w:t>
      </w:r>
      <w:r w:rsidR="006F1AF9" w:rsidRPr="006F1AF9">
        <w:rPr>
          <w:rFonts w:ascii="Courier New" w:hAnsi="Courier New" w:cs="Courier New"/>
          <w:b/>
          <w:sz w:val="23"/>
          <w:szCs w:val="23"/>
        </w:rPr>
        <w:t xml:space="preserve"> </w:t>
      </w:r>
      <w:r w:rsidR="006F1AF9" w:rsidRPr="006F1AF9">
        <w:rPr>
          <w:rFonts w:ascii="Courier New" w:hAnsi="Courier New" w:cs="Courier New"/>
          <w:sz w:val="23"/>
          <w:szCs w:val="23"/>
        </w:rPr>
        <w:t xml:space="preserve">No caso de corte de fornecimento, por atraso no pagamento do débito que originou o corte, a concessionária tem que restabelecer o fornecimento de energia elétrica, sem qualquer ônus </w:t>
      </w:r>
      <w:r w:rsidR="006F1AF9" w:rsidRPr="006F1AF9">
        <w:rPr>
          <w:rFonts w:ascii="Courier New" w:hAnsi="Courier New" w:cs="Courier New"/>
          <w:sz w:val="23"/>
          <w:szCs w:val="23"/>
        </w:rPr>
        <w:lastRenderedPageBreak/>
        <w:t>ao consumidor, no prazo máximo de 24 (vinte e quatro) horas, após a quitação do débito correspondente</w:t>
      </w:r>
      <w:r w:rsidRPr="006F1AF9">
        <w:rPr>
          <w:rFonts w:ascii="Courier New" w:hAnsi="Courier New" w:cs="Courier New"/>
          <w:sz w:val="23"/>
          <w:szCs w:val="23"/>
        </w:rPr>
        <w:t>.</w:t>
      </w:r>
    </w:p>
    <w:p w:rsidR="009F11C5" w:rsidRPr="006F1AF9" w:rsidRDefault="009F11C5" w:rsidP="006F1AF9">
      <w:pPr>
        <w:ind w:firstLine="1134"/>
        <w:jc w:val="both"/>
        <w:rPr>
          <w:rFonts w:ascii="Courier New" w:hAnsi="Courier New" w:cs="Courier New"/>
          <w:sz w:val="23"/>
          <w:szCs w:val="23"/>
        </w:rPr>
      </w:pP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b/>
          <w:bCs/>
          <w:sz w:val="23"/>
          <w:szCs w:val="23"/>
        </w:rPr>
        <w:t>Art. 3º</w:t>
      </w:r>
      <w:r w:rsidRPr="006F1AF9">
        <w:rPr>
          <w:rFonts w:ascii="Courier New" w:hAnsi="Courier New" w:cs="Courier New"/>
          <w:sz w:val="23"/>
          <w:szCs w:val="23"/>
        </w:rPr>
        <w:t> - As concessionárias deverão informar ao consumidor sobre a gratuidade do serviço de religação, em suas respectivas faturas de cobrança e em seus sítios eletrônicos. </w:t>
      </w:r>
      <w:r w:rsidRPr="006F1AF9">
        <w:rPr>
          <w:rFonts w:ascii="Courier New" w:hAnsi="Courier New" w:cs="Courier New"/>
          <w:sz w:val="23"/>
          <w:szCs w:val="23"/>
        </w:rPr>
        <w:br/>
      </w:r>
      <w:r w:rsidRPr="006F1AF9">
        <w:rPr>
          <w:rFonts w:ascii="Courier New" w:hAnsi="Courier New" w:cs="Courier New"/>
          <w:sz w:val="23"/>
          <w:szCs w:val="23"/>
        </w:rPr>
        <w:br/>
      </w:r>
      <w:r>
        <w:rPr>
          <w:rFonts w:ascii="Courier New" w:hAnsi="Courier New" w:cs="Courier New"/>
          <w:b/>
          <w:bCs/>
          <w:sz w:val="23"/>
          <w:szCs w:val="23"/>
        </w:rPr>
        <w:t xml:space="preserve">        </w:t>
      </w:r>
      <w:r w:rsidRPr="006F1AF9">
        <w:rPr>
          <w:rFonts w:ascii="Courier New" w:hAnsi="Courier New" w:cs="Courier New"/>
          <w:b/>
          <w:bCs/>
          <w:sz w:val="23"/>
          <w:szCs w:val="23"/>
        </w:rPr>
        <w:t>Art. 4º</w:t>
      </w:r>
      <w:r w:rsidRPr="006F1AF9">
        <w:rPr>
          <w:rFonts w:ascii="Courier New" w:hAnsi="Courier New" w:cs="Courier New"/>
          <w:sz w:val="23"/>
          <w:szCs w:val="23"/>
        </w:rPr>
        <w:t> - Fica vedado o corte de fornecimento de energia elétrica para as unidades da administração pública direta, responsáveis pela manutenção dos serviços essenciais a população.</w:t>
      </w:r>
      <w:r w:rsidRPr="006F1AF9">
        <w:rPr>
          <w:rFonts w:ascii="Courier New" w:hAnsi="Courier New" w:cs="Courier New"/>
          <w:sz w:val="23"/>
          <w:szCs w:val="23"/>
        </w:rPr>
        <w:br/>
      </w:r>
      <w:r w:rsidRPr="006F1AF9">
        <w:rPr>
          <w:rFonts w:ascii="Courier New" w:hAnsi="Courier New" w:cs="Courier New"/>
          <w:sz w:val="23"/>
          <w:szCs w:val="23"/>
        </w:rPr>
        <w:br/>
      </w:r>
      <w:r>
        <w:rPr>
          <w:rFonts w:ascii="Courier New" w:hAnsi="Courier New" w:cs="Courier New"/>
          <w:b/>
          <w:bCs/>
          <w:sz w:val="23"/>
          <w:szCs w:val="23"/>
        </w:rPr>
        <w:t xml:space="preserve">        </w:t>
      </w:r>
      <w:r w:rsidRPr="006F1AF9">
        <w:rPr>
          <w:rFonts w:ascii="Courier New" w:hAnsi="Courier New" w:cs="Courier New"/>
          <w:b/>
          <w:bCs/>
          <w:sz w:val="23"/>
          <w:szCs w:val="23"/>
        </w:rPr>
        <w:t>Art. 5º</w:t>
      </w:r>
      <w:r w:rsidRPr="006F1AF9">
        <w:rPr>
          <w:rFonts w:ascii="Courier New" w:hAnsi="Courier New" w:cs="Courier New"/>
          <w:sz w:val="23"/>
          <w:szCs w:val="23"/>
        </w:rPr>
        <w:t> - Em caso de descumprimento desta Lei, as concessionárias serão multadas em 1.000 UFERMS (Unidade Fiscal de Referência de Mato Grosso do Sul), sem prejuízo das medidas previstas no Código de Defesa do Consumidor, Lei nº 8.078, de 11 de setembro de 1990.</w:t>
      </w:r>
    </w:p>
    <w:p w:rsidR="006F1AF9" w:rsidRPr="006F1AF9" w:rsidRDefault="006F1AF9" w:rsidP="006F1AF9">
      <w:pPr>
        <w:spacing w:line="276" w:lineRule="auto"/>
        <w:ind w:firstLine="1134"/>
        <w:jc w:val="both"/>
        <w:rPr>
          <w:rFonts w:ascii="Courier New" w:hAnsi="Courier New" w:cs="Courier New"/>
          <w:b/>
          <w:sz w:val="23"/>
          <w:szCs w:val="23"/>
        </w:rPr>
      </w:pPr>
    </w:p>
    <w:p w:rsidR="00864C5C" w:rsidRPr="006F1AF9" w:rsidRDefault="00864C5C" w:rsidP="006F1AF9">
      <w:pPr>
        <w:spacing w:line="276" w:lineRule="auto"/>
        <w:ind w:firstLine="1134"/>
        <w:jc w:val="both"/>
        <w:rPr>
          <w:rFonts w:ascii="Courier New" w:hAnsi="Courier New" w:cs="Courier New"/>
          <w:sz w:val="23"/>
          <w:szCs w:val="23"/>
        </w:rPr>
      </w:pPr>
      <w:r w:rsidRPr="006F1AF9">
        <w:rPr>
          <w:rFonts w:ascii="Courier New" w:hAnsi="Courier New" w:cs="Courier New"/>
          <w:b/>
          <w:sz w:val="23"/>
          <w:szCs w:val="23"/>
        </w:rPr>
        <w:t xml:space="preserve">Art. </w:t>
      </w:r>
      <w:r w:rsidR="006F1AF9" w:rsidRPr="006F1AF9">
        <w:rPr>
          <w:rFonts w:ascii="Courier New" w:hAnsi="Courier New" w:cs="Courier New"/>
          <w:b/>
          <w:sz w:val="23"/>
          <w:szCs w:val="23"/>
        </w:rPr>
        <w:t>6</w:t>
      </w:r>
      <w:r w:rsidRPr="006F1AF9">
        <w:rPr>
          <w:rFonts w:ascii="Courier New" w:hAnsi="Courier New" w:cs="Courier New"/>
          <w:b/>
          <w:sz w:val="23"/>
          <w:szCs w:val="23"/>
        </w:rPr>
        <w:t xml:space="preserve">º - </w:t>
      </w:r>
      <w:r w:rsidRPr="006F1AF9">
        <w:rPr>
          <w:rFonts w:ascii="Courier New" w:hAnsi="Courier New" w:cs="Courier New"/>
          <w:sz w:val="23"/>
          <w:szCs w:val="23"/>
        </w:rPr>
        <w:t>Esta lei entra em vigor, na data de sua publicação e/ou afixação</w:t>
      </w:r>
      <w:r w:rsidR="000E2BA5" w:rsidRPr="006F1AF9">
        <w:rPr>
          <w:rFonts w:ascii="Courier New" w:hAnsi="Courier New" w:cs="Courier New"/>
          <w:sz w:val="23"/>
          <w:szCs w:val="23"/>
        </w:rPr>
        <w:t xml:space="preserve">, revogadas as disposições em contrário. </w:t>
      </w:r>
    </w:p>
    <w:p w:rsidR="00864C5C" w:rsidRPr="006F1AF9" w:rsidRDefault="00864C5C" w:rsidP="006F1AF9">
      <w:pPr>
        <w:spacing w:line="276" w:lineRule="auto"/>
        <w:ind w:firstLine="1134"/>
        <w:jc w:val="both"/>
        <w:rPr>
          <w:rFonts w:ascii="Courier New" w:hAnsi="Courier New" w:cs="Courier New"/>
          <w:sz w:val="23"/>
          <w:szCs w:val="23"/>
        </w:rPr>
      </w:pPr>
    </w:p>
    <w:p w:rsidR="00864C5C" w:rsidRPr="006F1AF9" w:rsidRDefault="00864C5C"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Plenário das Deliberações “Erberto Flauzino de Oliveira”, em</w:t>
      </w:r>
      <w:r w:rsidR="00E523A5" w:rsidRPr="006F1AF9">
        <w:rPr>
          <w:rFonts w:ascii="Courier New" w:hAnsi="Courier New" w:cs="Courier New"/>
          <w:sz w:val="23"/>
          <w:szCs w:val="23"/>
        </w:rPr>
        <w:t xml:space="preserve"> </w:t>
      </w:r>
      <w:r w:rsidR="006F1AF9" w:rsidRPr="006F1AF9">
        <w:rPr>
          <w:rFonts w:ascii="Courier New" w:hAnsi="Courier New" w:cs="Courier New"/>
          <w:sz w:val="23"/>
          <w:szCs w:val="23"/>
        </w:rPr>
        <w:t>25</w:t>
      </w:r>
      <w:r w:rsidR="00E523A5" w:rsidRPr="006F1AF9">
        <w:rPr>
          <w:rFonts w:ascii="Courier New" w:hAnsi="Courier New" w:cs="Courier New"/>
          <w:sz w:val="23"/>
          <w:szCs w:val="23"/>
        </w:rPr>
        <w:t xml:space="preserve"> de setembro</w:t>
      </w:r>
      <w:r w:rsidRPr="006F1AF9">
        <w:rPr>
          <w:rFonts w:ascii="Courier New" w:hAnsi="Courier New" w:cs="Courier New"/>
          <w:sz w:val="23"/>
          <w:szCs w:val="23"/>
        </w:rPr>
        <w:t xml:space="preserve"> </w:t>
      </w:r>
      <w:r w:rsidR="00DF02AC" w:rsidRPr="006F1AF9">
        <w:rPr>
          <w:rFonts w:ascii="Courier New" w:hAnsi="Courier New" w:cs="Courier New"/>
          <w:sz w:val="23"/>
          <w:szCs w:val="23"/>
        </w:rPr>
        <w:t>de 201</w:t>
      </w:r>
      <w:r w:rsidR="000D3B00" w:rsidRPr="006F1AF9">
        <w:rPr>
          <w:rFonts w:ascii="Courier New" w:hAnsi="Courier New" w:cs="Courier New"/>
          <w:sz w:val="23"/>
          <w:szCs w:val="23"/>
        </w:rPr>
        <w:t>7</w:t>
      </w:r>
      <w:r w:rsidR="00DF02AC" w:rsidRPr="006F1AF9">
        <w:rPr>
          <w:rFonts w:ascii="Courier New" w:hAnsi="Courier New" w:cs="Courier New"/>
          <w:sz w:val="23"/>
          <w:szCs w:val="23"/>
        </w:rPr>
        <w:t>.</w:t>
      </w:r>
      <w:r w:rsidR="00E523A5" w:rsidRPr="006F1AF9">
        <w:rPr>
          <w:rFonts w:ascii="Courier New" w:hAnsi="Courier New" w:cs="Courier New"/>
          <w:sz w:val="23"/>
          <w:szCs w:val="23"/>
        </w:rPr>
        <w:t xml:space="preserve"> </w:t>
      </w:r>
      <w:r w:rsidR="000D3B00" w:rsidRPr="006F1AF9">
        <w:rPr>
          <w:rFonts w:ascii="Courier New" w:hAnsi="Courier New" w:cs="Courier New"/>
          <w:sz w:val="23"/>
          <w:szCs w:val="23"/>
        </w:rPr>
        <w:t xml:space="preserve"> </w:t>
      </w:r>
      <w:r w:rsidR="000A0BB3" w:rsidRPr="006F1AF9">
        <w:rPr>
          <w:rFonts w:ascii="Courier New" w:hAnsi="Courier New" w:cs="Courier New"/>
          <w:sz w:val="23"/>
          <w:szCs w:val="23"/>
        </w:rPr>
        <w:t xml:space="preserve"> </w:t>
      </w:r>
      <w:r w:rsidR="00DF02AC" w:rsidRPr="006F1AF9">
        <w:rPr>
          <w:rFonts w:ascii="Courier New" w:hAnsi="Courier New" w:cs="Courier New"/>
          <w:sz w:val="23"/>
          <w:szCs w:val="23"/>
        </w:rPr>
        <w:t xml:space="preserve"> </w:t>
      </w:r>
      <w:r w:rsidR="001C053C" w:rsidRPr="006F1AF9">
        <w:rPr>
          <w:rFonts w:ascii="Courier New" w:hAnsi="Courier New" w:cs="Courier New"/>
          <w:sz w:val="23"/>
          <w:szCs w:val="23"/>
        </w:rPr>
        <w:t xml:space="preserve"> </w:t>
      </w:r>
      <w:r w:rsidR="0002175A" w:rsidRPr="006F1AF9">
        <w:rPr>
          <w:rFonts w:ascii="Courier New" w:hAnsi="Courier New" w:cs="Courier New"/>
          <w:sz w:val="23"/>
          <w:szCs w:val="23"/>
        </w:rPr>
        <w:t xml:space="preserve"> </w:t>
      </w:r>
    </w:p>
    <w:p w:rsidR="00864C5C" w:rsidRPr="006F1AF9" w:rsidRDefault="00864C5C" w:rsidP="00DA7104">
      <w:pPr>
        <w:spacing w:line="276" w:lineRule="auto"/>
        <w:rPr>
          <w:rFonts w:ascii="Courier New" w:hAnsi="Courier New" w:cs="Courier New"/>
          <w:sz w:val="23"/>
          <w:szCs w:val="23"/>
        </w:rPr>
      </w:pPr>
    </w:p>
    <w:p w:rsidR="00864C5C" w:rsidRPr="006F1AF9" w:rsidRDefault="00864C5C" w:rsidP="00DA7104">
      <w:pPr>
        <w:spacing w:line="276" w:lineRule="auto"/>
        <w:rPr>
          <w:rFonts w:ascii="Courier New" w:hAnsi="Courier New" w:cs="Courier New"/>
          <w:sz w:val="23"/>
          <w:szCs w:val="23"/>
        </w:rPr>
      </w:pPr>
    </w:p>
    <w:p w:rsidR="00864C5C" w:rsidRPr="006F1AF9" w:rsidRDefault="00864C5C" w:rsidP="00DA7104">
      <w:pPr>
        <w:spacing w:line="276" w:lineRule="auto"/>
        <w:rPr>
          <w:rFonts w:ascii="Courier New" w:hAnsi="Courier New" w:cs="Courier New"/>
          <w:sz w:val="23"/>
          <w:szCs w:val="23"/>
        </w:rPr>
      </w:pPr>
    </w:p>
    <w:p w:rsidR="00864C5C" w:rsidRPr="006F1AF9" w:rsidRDefault="00864C5C" w:rsidP="00DA7104">
      <w:pPr>
        <w:spacing w:line="276" w:lineRule="auto"/>
        <w:rPr>
          <w:rFonts w:ascii="Courier New" w:hAnsi="Courier New" w:cs="Courier New"/>
          <w:sz w:val="23"/>
          <w:szCs w:val="23"/>
        </w:rPr>
      </w:pPr>
    </w:p>
    <w:p w:rsidR="00864C5C" w:rsidRPr="006F1AF9" w:rsidRDefault="00864C5C" w:rsidP="00DA7104">
      <w:pPr>
        <w:spacing w:line="276" w:lineRule="auto"/>
        <w:rPr>
          <w:rFonts w:ascii="Courier New" w:hAnsi="Courier New" w:cs="Courier New"/>
          <w:sz w:val="23"/>
          <w:szCs w:val="23"/>
        </w:rPr>
      </w:pPr>
    </w:p>
    <w:p w:rsidR="00DA7104" w:rsidRPr="006F1AF9" w:rsidRDefault="00DA7104" w:rsidP="00DA7104">
      <w:pPr>
        <w:spacing w:line="276" w:lineRule="auto"/>
        <w:jc w:val="center"/>
        <w:rPr>
          <w:rFonts w:ascii="Courier New" w:hAnsi="Courier New" w:cs="Courier New"/>
          <w:b/>
          <w:sz w:val="23"/>
          <w:szCs w:val="23"/>
          <w:u w:val="single"/>
        </w:rPr>
      </w:pPr>
    </w:p>
    <w:p w:rsidR="00DA7104" w:rsidRPr="006F1AF9" w:rsidRDefault="00DA7104" w:rsidP="00DA7104">
      <w:pPr>
        <w:spacing w:line="276" w:lineRule="auto"/>
        <w:jc w:val="center"/>
        <w:rPr>
          <w:rFonts w:ascii="Courier New" w:hAnsi="Courier New" w:cs="Courier New"/>
          <w:b/>
          <w:sz w:val="23"/>
          <w:szCs w:val="23"/>
          <w:u w:val="single"/>
        </w:rPr>
      </w:pPr>
    </w:p>
    <w:p w:rsidR="00DA7104" w:rsidRPr="006F1AF9" w:rsidRDefault="00DA7104" w:rsidP="00DA7104">
      <w:pPr>
        <w:spacing w:line="276" w:lineRule="auto"/>
        <w:jc w:val="center"/>
        <w:rPr>
          <w:rFonts w:ascii="Courier New" w:hAnsi="Courier New" w:cs="Courier New"/>
          <w:b/>
          <w:sz w:val="23"/>
          <w:szCs w:val="23"/>
          <w:u w:val="single"/>
        </w:rPr>
      </w:pPr>
    </w:p>
    <w:p w:rsidR="00864C5C" w:rsidRPr="006F1AF9" w:rsidRDefault="00864C5C" w:rsidP="00DA7104">
      <w:pPr>
        <w:spacing w:line="276" w:lineRule="auto"/>
        <w:jc w:val="center"/>
        <w:rPr>
          <w:rFonts w:ascii="Courier New" w:hAnsi="Courier New" w:cs="Courier New"/>
          <w:sz w:val="23"/>
          <w:szCs w:val="23"/>
        </w:rPr>
      </w:pPr>
      <w:r w:rsidRPr="006F1AF9">
        <w:rPr>
          <w:rFonts w:ascii="Courier New" w:hAnsi="Courier New" w:cs="Courier New"/>
          <w:b/>
          <w:sz w:val="23"/>
          <w:szCs w:val="23"/>
          <w:u w:val="single"/>
        </w:rPr>
        <w:t>JUSTIFICATIVA</w:t>
      </w:r>
    </w:p>
    <w:p w:rsidR="00864C5C" w:rsidRPr="006F1AF9" w:rsidRDefault="00864C5C" w:rsidP="00DA7104">
      <w:pPr>
        <w:spacing w:line="276" w:lineRule="auto"/>
        <w:jc w:val="center"/>
        <w:rPr>
          <w:rFonts w:ascii="Courier New" w:hAnsi="Courier New" w:cs="Courier New"/>
          <w:sz w:val="23"/>
          <w:szCs w:val="23"/>
        </w:rPr>
      </w:pP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 xml:space="preserve">O fornecimento de energia elétrica e água são serviços essenciais, cuja fruição é inerente à dignidade da pessoa humana, admitida sua suspensão em situações excepcionais. </w:t>
      </w: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A presente propositura visa corrigir uma situação que entendemos ser injusta, visto que a religação desses serviços decorre do adimplemento e este obriga o restabelecimento do fornecimento da água e/ou energia. O usuário que já paga pelos serviços, não pode ser cobrado para ter acesso aos serviços, até porque efetuou o pagamento quando solicitou a ligação pela primeira vez.</w:t>
      </w: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Assim, uma vez pago o débito pelo consumidor, é obrigação da requerida restabelecer, de imediato o fornecimento, sob pena de onerar em demasia o usuário/consumidor, eis que este seria duplamente penalizado, isto é, no início com a suspensão do serviço e depois com a cobrança da religação.</w:t>
      </w: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Esse é o entendimento da 1ª Vara de Direitos Difusos, Coletivos e Individuais Homogêneos de Campo Grande-MS que, atendendo um pedido do Ministério Público do Estado (MPE), determinou a ilegalidade e o fim da cobrança de taxa de religação de água por parte da concessionária Águas Guariroba.</w:t>
      </w: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Segundo o juiz Marcelo Ivo de Oliveira daquela Vara, o argumento de que a cobrança da taxa de religação é medida de proteção ao próprio serviço público e tem causa na inadimplência do próprio usuário, não merece prosperar.</w:t>
      </w:r>
    </w:p>
    <w:p w:rsidR="006F1AF9"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Na decisão, o Magistrado assim se pronunciou: </w:t>
      </w:r>
      <w:r w:rsidRPr="006F1AF9">
        <w:rPr>
          <w:rFonts w:ascii="Courier New" w:hAnsi="Courier New" w:cs="Courier New"/>
          <w:i/>
          <w:iCs/>
          <w:sz w:val="23"/>
          <w:szCs w:val="23"/>
        </w:rPr>
        <w:t>“No caso, com o pagamento pelo usuário do débito após o corte do fornecimento do serviço, entendo ser obrigação da concessionária efetuar o imediato restabelecimento do serviço, sem que para isso tenha que pagar qualquer taxa extra, além daquelas já mencionadas (pagamento de juros de mora e/ou multa)”</w:t>
      </w:r>
      <w:r>
        <w:rPr>
          <w:rFonts w:ascii="Courier New" w:hAnsi="Courier New" w:cs="Courier New"/>
          <w:i/>
          <w:iCs/>
          <w:sz w:val="23"/>
          <w:szCs w:val="23"/>
        </w:rPr>
        <w:t>.</w:t>
      </w:r>
    </w:p>
    <w:p w:rsidR="00E523A5" w:rsidRPr="006F1AF9" w:rsidRDefault="006F1AF9" w:rsidP="006F1AF9">
      <w:pPr>
        <w:spacing w:line="276" w:lineRule="auto"/>
        <w:ind w:firstLine="1134"/>
        <w:jc w:val="both"/>
        <w:rPr>
          <w:rFonts w:ascii="Courier New" w:hAnsi="Courier New" w:cs="Courier New"/>
          <w:sz w:val="23"/>
          <w:szCs w:val="23"/>
        </w:rPr>
      </w:pPr>
      <w:r w:rsidRPr="006F1AF9">
        <w:rPr>
          <w:rFonts w:ascii="Courier New" w:hAnsi="Courier New" w:cs="Courier New"/>
          <w:sz w:val="23"/>
          <w:szCs w:val="23"/>
        </w:rPr>
        <w:t>Portanto, convencidos de que a cobrança da taxa de religação, por parte das concessionárias dos serviços de água e energia elétrica, é medida ilegal, apresentamos a presente propositura</w:t>
      </w:r>
      <w:r w:rsidR="00E523A5" w:rsidRPr="006F1AF9">
        <w:rPr>
          <w:rFonts w:ascii="Courier New" w:hAnsi="Courier New" w:cs="Courier New"/>
          <w:sz w:val="23"/>
          <w:szCs w:val="23"/>
        </w:rPr>
        <w:t>.</w:t>
      </w:r>
    </w:p>
    <w:p w:rsidR="00BB49FA" w:rsidRPr="006F1AF9" w:rsidRDefault="00BB49FA" w:rsidP="006F1AF9">
      <w:pPr>
        <w:spacing w:line="276" w:lineRule="auto"/>
        <w:ind w:firstLine="1134"/>
        <w:jc w:val="both"/>
        <w:rPr>
          <w:rFonts w:ascii="Courier New" w:hAnsi="Courier New" w:cs="Courier New"/>
          <w:sz w:val="23"/>
          <w:szCs w:val="23"/>
        </w:rPr>
      </w:pPr>
    </w:p>
    <w:p w:rsidR="006E70A3" w:rsidRPr="006F1AF9" w:rsidRDefault="00864C5C" w:rsidP="006F1AF9">
      <w:pPr>
        <w:pStyle w:val="Corpodetexto"/>
        <w:spacing w:line="276" w:lineRule="auto"/>
        <w:ind w:firstLine="1134"/>
        <w:jc w:val="both"/>
        <w:rPr>
          <w:rFonts w:ascii="Courier New" w:hAnsi="Courier New" w:cs="Courier New"/>
          <w:sz w:val="23"/>
          <w:szCs w:val="23"/>
        </w:rPr>
      </w:pPr>
      <w:r w:rsidRPr="006F1AF9">
        <w:rPr>
          <w:rFonts w:ascii="Courier New" w:hAnsi="Courier New" w:cs="Courier New"/>
          <w:sz w:val="23"/>
          <w:szCs w:val="23"/>
        </w:rPr>
        <w:t>Plenário das Deliberações “Erberto Flauzino de Oliveira”, em</w:t>
      </w:r>
      <w:r w:rsidR="00BB49FA" w:rsidRPr="006F1AF9">
        <w:rPr>
          <w:rFonts w:ascii="Courier New" w:hAnsi="Courier New" w:cs="Courier New"/>
          <w:sz w:val="23"/>
          <w:szCs w:val="23"/>
        </w:rPr>
        <w:t xml:space="preserve"> </w:t>
      </w:r>
      <w:r w:rsidR="007A4352">
        <w:rPr>
          <w:rFonts w:ascii="Courier New" w:hAnsi="Courier New" w:cs="Courier New"/>
          <w:sz w:val="23"/>
          <w:szCs w:val="23"/>
        </w:rPr>
        <w:t>25</w:t>
      </w:r>
      <w:r w:rsidR="00BB49FA" w:rsidRPr="006F1AF9">
        <w:rPr>
          <w:rFonts w:ascii="Courier New" w:hAnsi="Courier New" w:cs="Courier New"/>
          <w:sz w:val="23"/>
          <w:szCs w:val="23"/>
        </w:rPr>
        <w:t xml:space="preserve"> de setembro de 2017</w:t>
      </w:r>
      <w:r w:rsidR="006316E8" w:rsidRPr="006F1AF9">
        <w:rPr>
          <w:rFonts w:ascii="Courier New" w:hAnsi="Courier New" w:cs="Courier New"/>
          <w:sz w:val="23"/>
          <w:szCs w:val="23"/>
        </w:rPr>
        <w:t>.</w:t>
      </w:r>
      <w:bookmarkStart w:id="0" w:name="_GoBack"/>
      <w:bookmarkEnd w:id="0"/>
    </w:p>
    <w:sectPr w:rsidR="006E70A3" w:rsidRPr="006F1AF9"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60" w:rsidRDefault="006C4160" w:rsidP="00864C5C">
      <w:r>
        <w:separator/>
      </w:r>
    </w:p>
  </w:endnote>
  <w:endnote w:type="continuationSeparator" w:id="0">
    <w:p w:rsidR="006C4160" w:rsidRDefault="006C4160"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6C4160">
      <w:rPr>
        <w:rStyle w:val="Nmerodepgina"/>
        <w:noProof/>
      </w:rPr>
      <w:t>1</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60" w:rsidRDefault="006C4160" w:rsidP="00864C5C">
      <w:r>
        <w:separator/>
      </w:r>
    </w:p>
  </w:footnote>
  <w:footnote w:type="continuationSeparator" w:id="0">
    <w:p w:rsidR="006C4160" w:rsidRDefault="006C4160"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6C4160">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567401341"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6F1AF9">
          <w:pPr>
            <w:rPr>
              <w:rFonts w:ascii="Courier New" w:hAnsi="Courier New" w:cs="Courier New"/>
              <w:b/>
              <w:sz w:val="22"/>
              <w:szCs w:val="22"/>
              <w:u w:val="single"/>
            </w:rPr>
          </w:pPr>
          <w:r w:rsidRPr="002358CD">
            <w:rPr>
              <w:rFonts w:ascii="Courier New" w:hAnsi="Courier New" w:cs="Courier New"/>
              <w:b/>
              <w:sz w:val="22"/>
              <w:szCs w:val="22"/>
              <w:u w:val="single"/>
            </w:rPr>
            <w:t xml:space="preserve">Nº. </w:t>
          </w:r>
          <w:r w:rsidR="009F11C5">
            <w:rPr>
              <w:rFonts w:ascii="Courier New" w:hAnsi="Courier New" w:cs="Courier New"/>
              <w:b/>
              <w:sz w:val="22"/>
              <w:szCs w:val="22"/>
              <w:u w:val="single"/>
            </w:rPr>
            <w:t>0</w:t>
          </w:r>
          <w:r w:rsidR="006F1AF9">
            <w:rPr>
              <w:rFonts w:ascii="Courier New" w:hAnsi="Courier New" w:cs="Courier New"/>
              <w:b/>
              <w:sz w:val="22"/>
              <w:szCs w:val="22"/>
              <w:u w:val="single"/>
            </w:rPr>
            <w:t>10</w:t>
          </w:r>
          <w:r w:rsidRPr="002358CD">
            <w:rPr>
              <w:rFonts w:ascii="Courier New" w:hAnsi="Courier New" w:cs="Courier New"/>
              <w:b/>
              <w:sz w:val="22"/>
              <w:szCs w:val="22"/>
              <w:u w:val="single"/>
            </w:rPr>
            <w:t>/201</w:t>
          </w:r>
          <w:r w:rsidR="000D3B00">
            <w:rPr>
              <w:rFonts w:ascii="Courier New" w:hAnsi="Courier New" w:cs="Courier New"/>
              <w:b/>
              <w:sz w:val="22"/>
              <w:szCs w:val="22"/>
              <w:u w:val="single"/>
            </w:rPr>
            <w:t>7</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6F1AF9">
          <w:pPr>
            <w:tabs>
              <w:tab w:val="left" w:pos="6200"/>
            </w:tabs>
            <w:rPr>
              <w:rFonts w:ascii="Courier New" w:hAnsi="Courier New" w:cs="Courier New"/>
              <w:b/>
              <w:i/>
              <w:sz w:val="24"/>
              <w:szCs w:val="24"/>
            </w:rPr>
          </w:pPr>
          <w:r w:rsidRPr="002358CD">
            <w:rPr>
              <w:rFonts w:ascii="Courier New" w:hAnsi="Courier New" w:cs="Courier New"/>
              <w:b/>
              <w:sz w:val="24"/>
              <w:szCs w:val="24"/>
            </w:rPr>
            <w:t>AUTORIA VEREADOR</w:t>
          </w:r>
          <w:r w:rsidR="00AF08BD" w:rsidRPr="002358CD">
            <w:rPr>
              <w:rFonts w:ascii="Courier New" w:hAnsi="Courier New" w:cs="Courier New"/>
              <w:b/>
              <w:sz w:val="24"/>
              <w:szCs w:val="24"/>
            </w:rPr>
            <w:t xml:space="preserve">: </w:t>
          </w:r>
          <w:r w:rsidR="006F1AF9">
            <w:rPr>
              <w:rFonts w:ascii="Courier New" w:hAnsi="Courier New" w:cs="Courier New"/>
              <w:b/>
              <w:sz w:val="24"/>
              <w:szCs w:val="24"/>
            </w:rPr>
            <w:t>Cacildo da Silva Paião (PTB)</w:t>
          </w:r>
          <w:r w:rsidR="002754AB">
            <w:rPr>
              <w:rFonts w:ascii="Courier New" w:hAnsi="Courier New" w:cs="Courier New"/>
              <w:b/>
              <w:sz w:val="24"/>
              <w:szCs w:val="24"/>
            </w:rPr>
            <w:t xml:space="preserve">. </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17851"/>
    <w:rsid w:val="0002175A"/>
    <w:rsid w:val="00022BF0"/>
    <w:rsid w:val="000A0BB3"/>
    <w:rsid w:val="000A5854"/>
    <w:rsid w:val="000B7F95"/>
    <w:rsid w:val="000D3B00"/>
    <w:rsid w:val="000E2BA5"/>
    <w:rsid w:val="00116419"/>
    <w:rsid w:val="001821F8"/>
    <w:rsid w:val="001C053C"/>
    <w:rsid w:val="002358CD"/>
    <w:rsid w:val="00257167"/>
    <w:rsid w:val="00262554"/>
    <w:rsid w:val="002754AB"/>
    <w:rsid w:val="002C1169"/>
    <w:rsid w:val="002E12A2"/>
    <w:rsid w:val="003423C4"/>
    <w:rsid w:val="00342EAB"/>
    <w:rsid w:val="00346EAF"/>
    <w:rsid w:val="00425FB6"/>
    <w:rsid w:val="004D2E52"/>
    <w:rsid w:val="004D69C7"/>
    <w:rsid w:val="005E7362"/>
    <w:rsid w:val="006208BA"/>
    <w:rsid w:val="006316E8"/>
    <w:rsid w:val="00663842"/>
    <w:rsid w:val="006A443A"/>
    <w:rsid w:val="006B3BEA"/>
    <w:rsid w:val="006C4160"/>
    <w:rsid w:val="006C57F1"/>
    <w:rsid w:val="006E70A3"/>
    <w:rsid w:val="006F1AF9"/>
    <w:rsid w:val="00750085"/>
    <w:rsid w:val="00766BA7"/>
    <w:rsid w:val="00783926"/>
    <w:rsid w:val="007A4352"/>
    <w:rsid w:val="007C6226"/>
    <w:rsid w:val="00806A42"/>
    <w:rsid w:val="00864C5C"/>
    <w:rsid w:val="008A5814"/>
    <w:rsid w:val="00903CB6"/>
    <w:rsid w:val="009432CA"/>
    <w:rsid w:val="009473A8"/>
    <w:rsid w:val="009708CD"/>
    <w:rsid w:val="00972A26"/>
    <w:rsid w:val="009D2812"/>
    <w:rsid w:val="009E1DED"/>
    <w:rsid w:val="009F11C5"/>
    <w:rsid w:val="00A05758"/>
    <w:rsid w:val="00A33F4D"/>
    <w:rsid w:val="00A459B0"/>
    <w:rsid w:val="00A55849"/>
    <w:rsid w:val="00A816AF"/>
    <w:rsid w:val="00AF08BD"/>
    <w:rsid w:val="00B63D3A"/>
    <w:rsid w:val="00B86513"/>
    <w:rsid w:val="00BB49FA"/>
    <w:rsid w:val="00BB501B"/>
    <w:rsid w:val="00BF7FE1"/>
    <w:rsid w:val="00C1003D"/>
    <w:rsid w:val="00C50FF5"/>
    <w:rsid w:val="00C86FBE"/>
    <w:rsid w:val="00CC3FF1"/>
    <w:rsid w:val="00D023E4"/>
    <w:rsid w:val="00D302D7"/>
    <w:rsid w:val="00D76109"/>
    <w:rsid w:val="00D965D4"/>
    <w:rsid w:val="00DA7104"/>
    <w:rsid w:val="00DC0AD2"/>
    <w:rsid w:val="00DF02AC"/>
    <w:rsid w:val="00E11BAF"/>
    <w:rsid w:val="00E523A5"/>
    <w:rsid w:val="00E54FD1"/>
    <w:rsid w:val="00E8295A"/>
    <w:rsid w:val="00E93385"/>
    <w:rsid w:val="00F149DC"/>
    <w:rsid w:val="00F9027F"/>
    <w:rsid w:val="00FA557B"/>
    <w:rsid w:val="00FE3E57"/>
    <w:rsid w:val="00FF5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A757E-9CA8-4E27-9467-3D39A397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2015-06-22T12:41:00Z</cp:lastPrinted>
  <dcterms:created xsi:type="dcterms:W3CDTF">2017-09-20T12:29:00Z</dcterms:created>
  <dcterms:modified xsi:type="dcterms:W3CDTF">2017-09-20T12:29:00Z</dcterms:modified>
</cp:coreProperties>
</file>